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067" w:rsidRDefault="003E2067" w:rsidP="00D62034">
      <w:pPr>
        <w:spacing w:before="480" w:after="12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uk-UA" w:eastAsia="ru-RU"/>
        </w:rPr>
        <w:t>24 квітня 2016 року, м. Львів</w:t>
      </w:r>
    </w:p>
    <w:p w:rsidR="003E2067" w:rsidRDefault="003E2067" w:rsidP="00D62034">
      <w:pPr>
        <w:spacing w:before="480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uk-UA" w:eastAsia="ru-RU"/>
        </w:rPr>
        <w:t>РЕЗОЛЮЦІЯ №</w:t>
      </w:r>
    </w:p>
    <w:p w:rsidR="003E2067" w:rsidRPr="003E2067" w:rsidRDefault="003E2067" w:rsidP="00D62034">
      <w:pPr>
        <w:spacing w:before="480" w:after="12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uk-UA" w:eastAsia="ru-RU"/>
        </w:rPr>
      </w:pPr>
      <w:r w:rsidRPr="003E206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uk-UA" w:eastAsia="ru-RU"/>
        </w:rPr>
        <w:t xml:space="preserve">Країни-спонсори: </w:t>
      </w:r>
      <w:r w:rsidRPr="003E206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>Китайська Народна Республіка, Королівство Нідерланди, Королівство Саудівська Аравія, Французька республіка, Японія.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uk-UA" w:eastAsia="ru-RU"/>
        </w:rPr>
        <w:t xml:space="preserve"> </w:t>
      </w:r>
    </w:p>
    <w:p w:rsidR="003E2067" w:rsidRDefault="003E2067" w:rsidP="00D62034">
      <w:pPr>
        <w:spacing w:before="480" w:after="12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</w:pPr>
      <w:r w:rsidRPr="003E206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uk-UA" w:eastAsia="ru-RU"/>
        </w:rPr>
        <w:t>Країни, що підписали: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 xml:space="preserve">Королівство Саудівська Аравія, Коста Ріка, Південно-Африканська республіка, Грузія, Індія,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 xml:space="preserve">Королівство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 xml:space="preserve">Нідерланди, Португалія, Монголія, Китай, Нідерланди, Румунія, Бразилія, Російська Федерація, Японія, Угорщина, </w:t>
      </w:r>
      <w:r w:rsidR="00D6203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 xml:space="preserve"> Екваторіальна Гвінея, </w:t>
      </w:r>
      <w:r w:rsidR="0000264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 xml:space="preserve">Кенія, Непал, Тайланд, Французька республіка. </w:t>
      </w:r>
    </w:p>
    <w:p w:rsidR="003E2067" w:rsidRDefault="003E2067" w:rsidP="00D62034">
      <w:pPr>
        <w:spacing w:before="480" w:after="12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uk-UA" w:eastAsia="ru-RU"/>
        </w:rPr>
      </w:pPr>
      <w:r w:rsidRPr="003E206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uk-UA" w:eastAsia="ru-RU"/>
        </w:rPr>
        <w:t>Країни, що утрималися: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 xml:space="preserve"> Сполучені Штати Мексики</w:t>
      </w:r>
      <w:r w:rsidR="00D6203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>.</w:t>
      </w:r>
    </w:p>
    <w:p w:rsidR="002C693E" w:rsidRPr="003E2067" w:rsidRDefault="003E2067" w:rsidP="00D62034">
      <w:pPr>
        <w:spacing w:before="480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uk-UA" w:eastAsia="ru-RU"/>
        </w:rPr>
      </w:pPr>
      <w:r w:rsidRPr="003E206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uk-UA" w:eastAsia="ru-RU"/>
        </w:rPr>
        <w:t>ВСЕСВІТНЯ ТУРИСТИЧНА ОРГАНІЗАЦІЯ,</w:t>
      </w:r>
    </w:p>
    <w:p w:rsidR="002C693E" w:rsidRPr="003E2067" w:rsidRDefault="002C693E" w:rsidP="00D62034">
      <w:pPr>
        <w:spacing w:before="480" w:after="12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 w:eastAsia="ru-RU"/>
        </w:rPr>
      </w:pPr>
      <w:r w:rsidRPr="00D62034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  <w:lang w:val="uk-UA" w:eastAsia="ru-RU"/>
        </w:rPr>
        <w:t>Посилаючись</w:t>
      </w:r>
      <w:r w:rsidR="003E206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 xml:space="preserve"> </w:t>
      </w:r>
      <w:r w:rsidRPr="003E206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>на свою резолюцію 53/200 «Проголошення 2002 року Міжнародним роком екотуризму», резолюцію 65/148 від 20 грудня 2010 року «Глобальний етичний кодекс туризму», резолюцію 68/207 від 20 грудня 2013 року «Стійкий туризм і сталий розвиток у Центральній Америці», резолюцію 67/223 від 21 грудня 2012 року «Сприяння розвитку екотуризму в інтересах подолання бідності та охорони навколишнього середовища»</w:t>
      </w:r>
      <w:r w:rsidR="003E206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 xml:space="preserve">, а також </w:t>
      </w:r>
      <w:r w:rsidRPr="003E206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>Гаазьку декларацію туризму 1989 року,</w:t>
      </w:r>
    </w:p>
    <w:p w:rsidR="002C693E" w:rsidRPr="003E2067" w:rsidRDefault="002C693E" w:rsidP="00D62034">
      <w:pPr>
        <w:spacing w:before="480" w:after="12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</w:pPr>
      <w:r w:rsidRPr="00D62034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  <w:lang w:val="uk-UA" w:eastAsia="ru-RU"/>
        </w:rPr>
        <w:t>Будучи переконаною</w:t>
      </w:r>
      <w:r w:rsidRPr="00D6203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uk-UA" w:eastAsia="ru-RU"/>
        </w:rPr>
        <w:t>,</w:t>
      </w:r>
      <w:r w:rsidRPr="003E206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 xml:space="preserve"> що туризм є однією з основних і бажаних сторін діяльності людини, яка заслуговує на схвалення й заохочення</w:t>
      </w:r>
      <w:r w:rsidR="00D6203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 xml:space="preserve"> </w:t>
      </w:r>
      <w:r w:rsidRPr="003E206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 xml:space="preserve">всіх народів </w:t>
      </w:r>
      <w:r w:rsidR="003E206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>та</w:t>
      </w:r>
      <w:r w:rsidRPr="003E206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 xml:space="preserve"> урядів,</w:t>
      </w:r>
    </w:p>
    <w:p w:rsidR="002C693E" w:rsidRPr="003E2067" w:rsidRDefault="002C693E" w:rsidP="00D62034">
      <w:pPr>
        <w:spacing w:before="480" w:after="12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</w:pPr>
      <w:r w:rsidRPr="00D62034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  <w:lang w:val="uk-UA" w:eastAsia="ru-RU"/>
        </w:rPr>
        <w:t>Глибоко усвідомлюючи</w:t>
      </w:r>
      <w:r w:rsidRPr="00D6203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uk-UA" w:eastAsia="ru-RU"/>
        </w:rPr>
        <w:t>,</w:t>
      </w:r>
      <w:r w:rsidRPr="003E206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 xml:space="preserve"> що туризм є важливим фактором, який сприяє зміцненню економіки країн, що розвиваються, шляхом розширення форм економічної діяльності, створення нових джерел зайнятості та надання потужного стимулу для сприяння розвитку місцевих галузей промисловості,</w:t>
      </w:r>
    </w:p>
    <w:p w:rsidR="002C693E" w:rsidRPr="003E2067" w:rsidRDefault="002C693E" w:rsidP="00D62034">
      <w:pPr>
        <w:spacing w:before="480" w:after="12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</w:pPr>
      <w:r w:rsidRPr="00D62034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  <w:lang w:val="uk-UA" w:eastAsia="ru-RU"/>
        </w:rPr>
        <w:t>Повністю усвідомлюючи</w:t>
      </w:r>
      <w:r w:rsidRPr="003E206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 xml:space="preserve"> соціальне, освітнє й культурне значення туризму, а також значну роль, яку він відіграє в розвитку взаємовідносин між країнами та збереженні миру,</w:t>
      </w:r>
    </w:p>
    <w:p w:rsidR="002C693E" w:rsidRPr="003E2067" w:rsidRDefault="002C693E" w:rsidP="00D62034">
      <w:pPr>
        <w:spacing w:before="480" w:after="12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</w:pPr>
      <w:r w:rsidRPr="00D62034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  <w:lang w:val="uk-UA" w:eastAsia="ru-RU"/>
        </w:rPr>
        <w:lastRenderedPageBreak/>
        <w:t>Підкреслюючи також</w:t>
      </w:r>
      <w:r w:rsidRPr="00D6203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uk-UA" w:eastAsia="ru-RU"/>
        </w:rPr>
        <w:t>,</w:t>
      </w:r>
      <w:r w:rsidRPr="003E206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 xml:space="preserve"> що стійкий туризм, включаючи екотуризм, входить до числа бага</w:t>
      </w:r>
      <w:r w:rsidR="00D6203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 xml:space="preserve">топланових напрямків діяльності, </w:t>
      </w:r>
      <w:r w:rsidRPr="003E206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>може сприяти боротьбі з бідністю, охороні навколишнього середовища та забезпеченню сталого розвитку,</w:t>
      </w:r>
    </w:p>
    <w:p w:rsidR="002C693E" w:rsidRPr="003E2067" w:rsidRDefault="002C693E" w:rsidP="00D62034">
      <w:pPr>
        <w:spacing w:before="480" w:after="12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</w:pPr>
      <w:r w:rsidRPr="00D62034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  <w:lang w:val="uk-UA" w:eastAsia="ru-RU"/>
        </w:rPr>
        <w:t>Підкреслюючи</w:t>
      </w:r>
      <w:r w:rsidRPr="00D6203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uk-UA" w:eastAsia="ru-RU"/>
        </w:rPr>
        <w:t xml:space="preserve"> </w:t>
      </w:r>
      <w:r w:rsidRPr="00D62034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  <w:lang w:val="uk-UA" w:eastAsia="ru-RU"/>
        </w:rPr>
        <w:t>далі</w:t>
      </w:r>
      <w:r w:rsidRPr="003E206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 xml:space="preserve"> роль стійкого туризму, включаючи екотуризм, у сприянні розвитку сільських районів і покращення умов життя сільського населення,</w:t>
      </w:r>
    </w:p>
    <w:p w:rsidR="00D62034" w:rsidRDefault="002C693E" w:rsidP="00D62034">
      <w:pPr>
        <w:spacing w:before="480" w:after="12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</w:pPr>
      <w:r w:rsidRPr="00D62034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  <w:lang w:val="uk-UA" w:eastAsia="ru-RU"/>
        </w:rPr>
        <w:t>Відзначаючи</w:t>
      </w:r>
      <w:r w:rsidRPr="00D6203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uk-UA" w:eastAsia="ru-RU"/>
        </w:rPr>
        <w:t xml:space="preserve"> </w:t>
      </w:r>
      <w:r w:rsidRPr="00D62034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  <w:lang w:val="uk-UA" w:eastAsia="ru-RU"/>
        </w:rPr>
        <w:t>зусилля</w:t>
      </w:r>
      <w:r w:rsidRPr="003E2067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val="uk-UA" w:eastAsia="ru-RU"/>
        </w:rPr>
        <w:t xml:space="preserve"> </w:t>
      </w:r>
      <w:r w:rsidRPr="003E206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 xml:space="preserve">Всесвітньої </w:t>
      </w:r>
      <w:r w:rsidR="00D6203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>Т</w:t>
      </w:r>
      <w:r w:rsidRPr="003E206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 xml:space="preserve">уристської </w:t>
      </w:r>
      <w:r w:rsidR="00D6203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>О</w:t>
      </w:r>
      <w:r w:rsidRPr="003E206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 xml:space="preserve">рганізації, Програми Організації Об'єднаних Націй </w:t>
      </w:r>
      <w:r w:rsidR="00D6203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>і</w:t>
      </w:r>
      <w:r w:rsidRPr="003E206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>з навколишнього середовища, Конференції Організації Об'єднаних Націй з торгівлі та розвитку та Організації Об'єднаних Націй з питань освіти, науки, культури та Конвенції про біологічне різноманіття, спрямовані на сприяння розвитку екотуризму та сталого туризму в усьому світі,</w:t>
      </w:r>
    </w:p>
    <w:p w:rsidR="002C693E" w:rsidRPr="003E2067" w:rsidRDefault="002C693E" w:rsidP="00D62034">
      <w:pPr>
        <w:spacing w:before="480" w:after="12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 w:eastAsia="ru-RU"/>
        </w:rPr>
      </w:pPr>
      <w:r w:rsidRPr="00D62034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  <w:lang w:val="uk-UA" w:eastAsia="ru-RU"/>
        </w:rPr>
        <w:t>Відзначаючи ініціативи</w:t>
      </w:r>
      <w:r w:rsidRPr="00D6203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uk-UA" w:eastAsia="ru-RU"/>
        </w:rPr>
        <w:t>,</w:t>
      </w:r>
      <w:r w:rsidRPr="003E206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 xml:space="preserve"> заходи в галузі сталого туризму, включаючи екотуризм і стійкий розвит</w:t>
      </w:r>
      <w:r w:rsidR="00D6203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>ок</w:t>
      </w:r>
      <w:r w:rsidRPr="003E206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 xml:space="preserve">, що висуваються й організовані на субрегіональному, регіональному </w:t>
      </w:r>
      <w:r w:rsidR="00D6203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 xml:space="preserve">та </w:t>
      </w:r>
      <w:r w:rsidRPr="003E206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>міжнародному рівнях,</w:t>
      </w:r>
    </w:p>
    <w:p w:rsidR="002C693E" w:rsidRPr="003E2067" w:rsidRDefault="003E2067" w:rsidP="00D62034">
      <w:pPr>
        <w:spacing w:before="480" w:after="12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</w:pPr>
      <w:r w:rsidRPr="00D62034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  <w:lang w:val="uk-UA" w:eastAsia="ru-RU"/>
        </w:rPr>
        <w:t>Відз</w:t>
      </w:r>
      <w:r w:rsidR="002C693E" w:rsidRPr="00D62034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  <w:lang w:val="uk-UA" w:eastAsia="ru-RU"/>
        </w:rPr>
        <w:t>начаючи прогрес</w:t>
      </w:r>
      <w:r w:rsidR="002C693E" w:rsidRPr="00D6203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uk-UA" w:eastAsia="ru-RU"/>
        </w:rPr>
        <w:t>,</w:t>
      </w:r>
      <w:r w:rsidR="002C693E" w:rsidRPr="003E206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 xml:space="preserve"> досягнутий в області туризму протягом останніх років у всьому світі</w:t>
      </w:r>
      <w:r w:rsidR="00D6203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 xml:space="preserve"> </w:t>
      </w:r>
      <w:r w:rsidR="002C693E" w:rsidRPr="003E206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uk-UA" w:eastAsia="ru-RU"/>
        </w:rPr>
        <w:t>як у розвинених, так і в країнах, що розвиваються,</w:t>
      </w:r>
    </w:p>
    <w:p w:rsidR="002C693E" w:rsidRPr="003E2067" w:rsidRDefault="002C693E" w:rsidP="00D62034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before="480" w:line="360" w:lineRule="auto"/>
        <w:ind w:left="0" w:firstLine="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uk-UA" w:eastAsia="ru-RU"/>
        </w:rPr>
      </w:pPr>
      <w:r w:rsidRPr="003E206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4"/>
          <w:szCs w:val="24"/>
          <w:lang w:val="uk-UA" w:eastAsia="ru-RU"/>
        </w:rPr>
        <w:t>Рекомендує</w:t>
      </w:r>
      <w:r w:rsidRPr="003E206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uk-UA" w:eastAsia="ru-RU"/>
        </w:rPr>
        <w:t xml:space="preserve"> країнам поглибити сприяння поступальному  розвитку індустрії туризму, уніфіку</w:t>
      </w:r>
      <w:r w:rsidR="00D6203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uk-UA" w:eastAsia="ru-RU"/>
        </w:rPr>
        <w:t>ючи</w:t>
      </w:r>
      <w:r w:rsidRPr="003E206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uk-UA" w:eastAsia="ru-RU"/>
        </w:rPr>
        <w:t xml:space="preserve"> освітньо-підготовчий процес працівників галузі,  удоско</w:t>
      </w:r>
      <w:r w:rsidR="00D6203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uk-UA" w:eastAsia="ru-RU"/>
        </w:rPr>
        <w:t>налюючи</w:t>
      </w:r>
      <w:r w:rsidRPr="003E206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uk-UA" w:eastAsia="ru-RU"/>
        </w:rPr>
        <w:t xml:space="preserve"> наявні</w:t>
      </w:r>
      <w:r w:rsidR="00D6203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uk-UA" w:eastAsia="ru-RU"/>
        </w:rPr>
        <w:t>,</w:t>
      </w:r>
      <w:r w:rsidRPr="003E206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uk-UA" w:eastAsia="ru-RU"/>
        </w:rPr>
        <w:t xml:space="preserve"> вироб</w:t>
      </w:r>
      <w:r w:rsidR="00D6203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uk-UA" w:eastAsia="ru-RU"/>
        </w:rPr>
        <w:t>ляючи</w:t>
      </w:r>
      <w:r w:rsidRPr="003E206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uk-UA" w:eastAsia="ru-RU"/>
        </w:rPr>
        <w:t xml:space="preserve"> нові механізми систематичного управління туристичним обслуговуванням та максимально  сприя</w:t>
      </w:r>
      <w:r w:rsidR="00D6203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uk-UA" w:eastAsia="ru-RU"/>
        </w:rPr>
        <w:t>ючи</w:t>
      </w:r>
      <w:r w:rsidRPr="003E206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uk-UA" w:eastAsia="ru-RU"/>
        </w:rPr>
        <w:t xml:space="preserve"> розвитку партнерських відносин між усіма зацікавленими сторонами.</w:t>
      </w:r>
    </w:p>
    <w:p w:rsidR="002C693E" w:rsidRPr="003E2067" w:rsidRDefault="002C693E" w:rsidP="00D62034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3E20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Закликає</w:t>
      </w:r>
      <w:r w:rsidRPr="003E20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країни відповідно до норм національного законодавства надавати інформацію, що прямо  чи опосередковано стосується галузі туризму та перебуває у відкритому доступі (щодо політичної кон’юктури, соціального-економічного стану, екологічної ситуації тощо).</w:t>
      </w:r>
    </w:p>
    <w:p w:rsidR="002C693E" w:rsidRPr="003E2067" w:rsidRDefault="002C693E" w:rsidP="00D62034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3E20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Радить</w:t>
      </w:r>
      <w:r w:rsidRPr="003E20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міжнародним, державним та локальним установам різних форм власності  надавати належну підтримку програмам і проектам, пов’язаним із концепцією сталого туризму</w:t>
      </w:r>
      <w:r w:rsidR="00D6203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Pr="003E20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 урахуванням економічних, соціальних, культурних та екологічних вигод від їх здійснення. </w:t>
      </w:r>
    </w:p>
    <w:p w:rsidR="002C693E" w:rsidRPr="003E2067" w:rsidRDefault="002C693E" w:rsidP="00D62034">
      <w:pPr>
        <w:numPr>
          <w:ilvl w:val="0"/>
          <w:numId w:val="2"/>
        </w:numPr>
        <w:tabs>
          <w:tab w:val="left" w:pos="284"/>
        </w:tabs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3E20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Звертає</w:t>
      </w:r>
      <w:r w:rsidRPr="003E20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3E20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увагу</w:t>
      </w:r>
      <w:r w:rsidRPr="003E20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країн на необхідність </w:t>
      </w:r>
      <w:r w:rsidR="00D6203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виявляти</w:t>
      </w:r>
      <w:r w:rsidRPr="003E20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максимально рівномірну увагу, підтримку та розви</w:t>
      </w:r>
      <w:r w:rsidR="00D6203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вати всі </w:t>
      </w:r>
      <w:r w:rsidRPr="003E20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галузев</w:t>
      </w:r>
      <w:r w:rsidR="00D6203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Pr="003E20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спеціалізаці</w:t>
      </w:r>
      <w:r w:rsidR="00D6203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ї</w:t>
      </w:r>
      <w:r w:rsidRPr="003E20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туризму, виходячи з потреби повністю втілити задекларовані Генеральною Асамблеєю ООН Цілі Сталого Розвитку, однак, розуміє й поважає їхнє право визначати пріоритетність видів відповідно до локальних особливостей, необхідних країні вигод, наявних у неї потреб тощо. </w:t>
      </w:r>
    </w:p>
    <w:p w:rsidR="0000264A" w:rsidRDefault="0000264A" w:rsidP="00D62034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2C693E" w:rsidRPr="003E2067" w:rsidRDefault="002C693E" w:rsidP="00D62034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0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 xml:space="preserve">Стосовно цього  зазначаємо, що вважаємо за пріоритетні такі види: </w:t>
      </w:r>
    </w:p>
    <w:p w:rsidR="002C693E" w:rsidRPr="003E2067" w:rsidRDefault="002C693E" w:rsidP="0000264A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а)</w:t>
      </w:r>
      <w:r w:rsidRPr="003E20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культурний туризм, що ставить за мету ознайомлення з побутовими, соціально-культурними особливостями народів світу та підтримує місцеві ремесла; </w:t>
      </w:r>
    </w:p>
    <w:p w:rsidR="00D62034" w:rsidRDefault="002C693E" w:rsidP="0000264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E2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б)</w:t>
      </w:r>
      <w:r w:rsidRPr="003E20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діловий туризм, що сприяє міжнародній кооперації та створенню сталих взаємовигідних фінансово-економічних зв’язків; </w:t>
      </w:r>
    </w:p>
    <w:p w:rsidR="002C693E" w:rsidRPr="003E2067" w:rsidRDefault="002C693E" w:rsidP="00D6203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в)</w:t>
      </w:r>
      <w:r w:rsidRPr="003E20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екологічний туризм, який формує екологічну компетентність</w:t>
      </w:r>
      <w:r w:rsidR="00D6203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необхідну для</w:t>
      </w:r>
      <w:r w:rsidRPr="003E20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оптимального природокористування та збереження біорізноманіття.</w:t>
      </w:r>
    </w:p>
    <w:p w:rsidR="002C693E" w:rsidRPr="003E2067" w:rsidRDefault="002C693E" w:rsidP="00D62034">
      <w:pPr>
        <w:numPr>
          <w:ilvl w:val="0"/>
          <w:numId w:val="3"/>
        </w:numPr>
        <w:tabs>
          <w:tab w:val="left" w:pos="284"/>
        </w:tabs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3E20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Закликає</w:t>
      </w:r>
      <w:r w:rsidRPr="003E20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до підвищення туристичного й конгресного іміджу всіх туристичних дестинацій і просування їхніх туристичних можливостей на внутр</w:t>
      </w:r>
      <w:r w:rsidR="00D6203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ішньому та міжнародному ринках </w:t>
      </w:r>
      <w:r w:rsidRPr="003E20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індустрії;</w:t>
      </w:r>
    </w:p>
    <w:p w:rsidR="002C693E" w:rsidRPr="003E2067" w:rsidRDefault="002C693E" w:rsidP="00D62034">
      <w:pPr>
        <w:numPr>
          <w:ilvl w:val="0"/>
          <w:numId w:val="4"/>
        </w:numPr>
        <w:tabs>
          <w:tab w:val="left" w:pos="284"/>
        </w:tabs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3E20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Рекомендує</w:t>
      </w:r>
      <w:r w:rsidRPr="003E20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країнам, враховуючи регіональні особливості, максимально орієнтувати роботу суб’єктів туристичної діяльності на ресурсозберігаючі природоохоронні способи ведення туристичного бізнесу. </w:t>
      </w:r>
    </w:p>
    <w:p w:rsidR="002C693E" w:rsidRPr="003E2067" w:rsidRDefault="002C693E" w:rsidP="00D62034">
      <w:pPr>
        <w:numPr>
          <w:ilvl w:val="0"/>
          <w:numId w:val="5"/>
        </w:numPr>
        <w:tabs>
          <w:tab w:val="left" w:pos="284"/>
        </w:tabs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3E20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Пропонує</w:t>
      </w:r>
      <w:r w:rsidRPr="003E20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країнам проводити масштабні просвітницькі кампанії різних форм, створювати медіапродукти та веб-платформи для їх поширення, продовж</w:t>
      </w:r>
      <w:r w:rsidR="0000264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ува</w:t>
      </w:r>
      <w:r w:rsidRPr="003E20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 роботу з розробки й упровадження інтерактивних додатків тощо задля формув</w:t>
      </w:r>
      <w:r w:rsidR="0000264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ання необхідних компетентностей, реалізації </w:t>
      </w:r>
      <w:r w:rsidRPr="003E20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принципів етики туриста.</w:t>
      </w:r>
    </w:p>
    <w:p w:rsidR="002C693E" w:rsidRPr="003E2067" w:rsidRDefault="002C693E" w:rsidP="00D62034">
      <w:pPr>
        <w:numPr>
          <w:ilvl w:val="0"/>
          <w:numId w:val="6"/>
        </w:numPr>
        <w:tabs>
          <w:tab w:val="left" w:pos="284"/>
        </w:tabs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3E20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Пропонує</w:t>
      </w:r>
      <w:r w:rsidRPr="003E20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 спільно з ЮНЕП науково обґрунтувати міжнародний територіальний поділ туристичної сфери на основі закону порівняльних переваг</w:t>
      </w:r>
      <w:r w:rsidRPr="003E2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3E20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для покращення розвитку туризму в рамках світового господарства</w:t>
      </w:r>
      <w:r w:rsidRPr="003E2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: </w:t>
      </w:r>
      <w:r w:rsidR="0000264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тоді</w:t>
      </w:r>
      <w:r w:rsidRPr="003E20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кожен туристичний регіон займе свою нішу на світовій арені, що поглибить його спеціалізацію та сприятиме пришвидшеному розвитку </w:t>
      </w:r>
      <w:r w:rsidR="0000264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3E20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галузі на цій території </w:t>
      </w:r>
      <w:r w:rsidR="0000264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завдяки залученню</w:t>
      </w:r>
      <w:r w:rsidRPr="003E20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експертів для наукового </w:t>
      </w:r>
      <w:r w:rsidR="0000264A" w:rsidRPr="003E20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обґрунтування</w:t>
      </w:r>
      <w:r w:rsidR="0000264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r w:rsidRPr="003E20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наданн</w:t>
      </w:r>
      <w:r w:rsidR="0000264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</w:t>
      </w:r>
      <w:r w:rsidRPr="003E20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публічної інформації про взаємозв’язки природного, історичного та економіко-соціального середовища, певних типів туризму, які</w:t>
      </w:r>
      <w:r w:rsidR="0000264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Pr="003E20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спираючись на них</w:t>
      </w:r>
      <w:r w:rsidR="0000264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Pr="003E20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мають </w:t>
      </w:r>
      <w:r w:rsidR="0000264A" w:rsidRPr="003E20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найоптимальніші</w:t>
      </w:r>
      <w:r w:rsidRPr="003E20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умови для зростання,</w:t>
      </w:r>
      <w:r w:rsidR="0000264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3E20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найбільшу інвестиційну привабливість тощо.</w:t>
      </w:r>
    </w:p>
    <w:p w:rsidR="002C693E" w:rsidRPr="003E2067" w:rsidRDefault="002C693E" w:rsidP="00D62034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3E20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Ініціює</w:t>
      </w:r>
      <w:r w:rsidRPr="003E20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проведення комплексу заходів із налагодження безпеки туризму (транспортна, готельно-рекреаційна, інша туристична інфраструктура) та запобігання терористичним актам на основі Гаазької декларації туризму 1989 року шляхом усебічного покращення рівня підготовки працівників туристичної поліції або створення такої в країнах, де вона відсутня.</w:t>
      </w:r>
    </w:p>
    <w:p w:rsidR="002C693E" w:rsidRPr="003E2067" w:rsidRDefault="002C693E" w:rsidP="0000264A">
      <w:pPr>
        <w:numPr>
          <w:ilvl w:val="0"/>
          <w:numId w:val="8"/>
        </w:numPr>
        <w:tabs>
          <w:tab w:val="left" w:pos="284"/>
          <w:tab w:val="left" w:pos="426"/>
        </w:tabs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3E20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Заохочує</w:t>
      </w:r>
      <w:r w:rsidRPr="003E20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країни розробляти й упроваджувати туристи</w:t>
      </w:r>
      <w:r w:rsidR="0000264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чні маршрути та програми з ураху</w:t>
      </w:r>
      <w:r w:rsidRPr="003E20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ванням соціальної стратифікації населення, зокрема: </w:t>
      </w:r>
    </w:p>
    <w:p w:rsidR="002C693E" w:rsidRPr="003E2067" w:rsidRDefault="002C693E" w:rsidP="0000264A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а)</w:t>
      </w:r>
      <w:r w:rsidRPr="003E20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зі спеціальною інфраструктурою для людей з обмеженими можливостями; </w:t>
      </w:r>
    </w:p>
    <w:p w:rsidR="002C693E" w:rsidRPr="003E2067" w:rsidRDefault="002C693E" w:rsidP="0000264A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б)</w:t>
      </w:r>
      <w:r w:rsidRPr="003E20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різноманітн</w:t>
      </w:r>
      <w:r w:rsidR="0000264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Pr="003E20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маршрут</w:t>
      </w:r>
      <w:r w:rsidR="0000264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</w:t>
      </w:r>
      <w:r w:rsidRPr="003E20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для молоді;</w:t>
      </w:r>
    </w:p>
    <w:p w:rsidR="002C693E" w:rsidRPr="003E2067" w:rsidRDefault="002C693E" w:rsidP="0000264A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2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в)</w:t>
      </w:r>
      <w:r w:rsidRPr="003E20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для людей з обмеженими фінансовими можливостями тощо.</w:t>
      </w:r>
    </w:p>
    <w:p w:rsidR="002C693E" w:rsidRPr="003E2067" w:rsidRDefault="002C693E" w:rsidP="0000264A">
      <w:pPr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3E20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lastRenderedPageBreak/>
        <w:t>Рекомендує</w:t>
      </w:r>
      <w:r w:rsidRPr="003E20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провести комплекс заходів, спрямованих на розвиток інфраструктури туристичної індустрії, у тому числі інженерної інфраструктури, транспортної мережі, об'єктів розміщення, громадського харчування, історико-культурної та природної спадщини, індустрії розваг тощо.</w:t>
      </w:r>
    </w:p>
    <w:p w:rsidR="003A4AED" w:rsidRPr="003E2067" w:rsidRDefault="002C693E" w:rsidP="0000264A">
      <w:pPr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jc w:val="both"/>
        <w:textAlignment w:val="baseline"/>
        <w:rPr>
          <w:sz w:val="24"/>
          <w:szCs w:val="24"/>
          <w:lang w:val="uk-UA"/>
        </w:rPr>
      </w:pPr>
      <w:r w:rsidRPr="003E20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Постановляє</w:t>
      </w:r>
      <w:r w:rsidRPr="003E20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надалі займатися цими</w:t>
      </w:r>
      <w:r w:rsidR="0000264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3E206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питаннями.</w:t>
      </w:r>
      <w:bookmarkStart w:id="0" w:name="_GoBack"/>
      <w:bookmarkEnd w:id="0"/>
    </w:p>
    <w:sectPr w:rsidR="003A4AED" w:rsidRPr="003E2067" w:rsidSect="00D62034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45FCC"/>
    <w:multiLevelType w:val="multilevel"/>
    <w:tmpl w:val="A5BA7B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3B359F"/>
    <w:multiLevelType w:val="multilevel"/>
    <w:tmpl w:val="B2EC82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C71967"/>
    <w:multiLevelType w:val="multilevel"/>
    <w:tmpl w:val="DECAA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264320"/>
    <w:multiLevelType w:val="multilevel"/>
    <w:tmpl w:val="E1D400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1A6F9C"/>
    <w:multiLevelType w:val="multilevel"/>
    <w:tmpl w:val="2B920C7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B11BF3"/>
    <w:multiLevelType w:val="multilevel"/>
    <w:tmpl w:val="F55C58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88386E"/>
    <w:multiLevelType w:val="multilevel"/>
    <w:tmpl w:val="1E3C57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29751A"/>
    <w:multiLevelType w:val="multilevel"/>
    <w:tmpl w:val="EC762CF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08222F"/>
    <w:multiLevelType w:val="multilevel"/>
    <w:tmpl w:val="598E06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8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4"/>
    <w:lvlOverride w:ilvl="0">
      <w:lvl w:ilvl="0">
        <w:numFmt w:val="decimal"/>
        <w:lvlText w:val="%1."/>
        <w:lvlJc w:val="left"/>
      </w:lvl>
    </w:lvlOverride>
  </w:num>
  <w:num w:numId="9">
    <w:abstractNumId w:val="7"/>
    <w:lvlOverride w:ilvl="0">
      <w:lvl w:ilvl="0">
        <w:numFmt w:val="decimal"/>
        <w:lvlText w:val="%1."/>
        <w:lvlJc w:val="left"/>
        <w:rPr>
          <w:rFonts w:ascii="Times New Roman" w:hAnsi="Times New Roman" w:cs="Times New Roman" w:hint="default"/>
          <w:b/>
          <w:sz w:val="24"/>
          <w:szCs w:val="1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93E"/>
    <w:rsid w:val="0000264A"/>
    <w:rsid w:val="002C693E"/>
    <w:rsid w:val="003A4AED"/>
    <w:rsid w:val="003E2067"/>
    <w:rsid w:val="00D6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69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9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C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69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9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C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Гринченко</dc:creator>
  <cp:lastModifiedBy>Гринченко</cp:lastModifiedBy>
  <cp:revision>2</cp:revision>
  <dcterms:created xsi:type="dcterms:W3CDTF">2016-04-24T08:41:00Z</dcterms:created>
  <dcterms:modified xsi:type="dcterms:W3CDTF">2016-04-24T11:25:00Z</dcterms:modified>
</cp:coreProperties>
</file>